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shd w:val="clear" w:fill="FFFFFF"/>
        <w:spacing w:lineRule="auto" w:line="240" w:before="192" w:after="0"/>
        <w:jc w:val="center"/>
        <w:rPr>
          <w:rFonts w:ascii="Arial" w:hAnsi="Arial" w:eastAsia="Arial" w:cs="Arial"/>
          <w:sz w:val="24"/>
          <w:szCs w:val="24"/>
        </w:rPr>
      </w:pPr>
      <w:r>
        <w:rPr>
          <w:rFonts w:eastAsia="Arial" w:cs="Arial" w:ascii="Arial" w:hAnsi="Arial"/>
          <w:b/>
          <w:color w:val="555555"/>
          <w:sz w:val="24"/>
          <w:szCs w:val="24"/>
        </w:rPr>
        <w:t xml:space="preserve">INSTRUÇÃO NORMATIVA SEDUH Nº </w:t>
      </w:r>
      <w:r>
        <w:rPr>
          <w:rFonts w:eastAsia="Arial" w:cs="Arial" w:ascii="Arial" w:hAnsi="Arial"/>
          <w:b/>
          <w:color w:val="555555"/>
          <w:sz w:val="24"/>
          <w:szCs w:val="24"/>
        </w:rPr>
        <w:t>01</w:t>
      </w:r>
      <w:r>
        <w:rPr>
          <w:rFonts w:eastAsia="Arial" w:cs="Arial" w:ascii="Arial" w:hAnsi="Arial"/>
          <w:b/>
          <w:color w:val="555555"/>
          <w:sz w:val="24"/>
          <w:szCs w:val="24"/>
        </w:rPr>
        <w:t>, DE xx DE xxxx DE 2025.</w:t>
      </w:r>
    </w:p>
    <w:p>
      <w:pPr>
        <w:pStyle w:val="LO-normal"/>
        <w:spacing w:lineRule="auto" w:line="240" w:before="0" w:after="0"/>
        <w:rPr>
          <w:rFonts w:ascii="Arial" w:hAnsi="Arial" w:eastAsia="Arial" w:cs="Arial"/>
          <w:sz w:val="24"/>
          <w:szCs w:val="24"/>
        </w:rPr>
      </w:pPr>
      <w:r>
        <w:rPr>
          <w:rFonts w:eastAsia="Arial" w:cs="Arial" w:ascii="Arial" w:hAnsi="Arial"/>
          <w:color w:val="333333"/>
          <w:sz w:val="24"/>
          <w:szCs w:val="24"/>
        </w:rPr>
        <w:br/>
      </w:r>
    </w:p>
    <w:p>
      <w:pPr>
        <w:pStyle w:val="LO-normal"/>
        <w:shd w:val="clear" w:fill="FFFFFF"/>
        <w:spacing w:lineRule="auto" w:line="240" w:before="567" w:after="567"/>
        <w:ind w:left="3969" w:right="192" w:hanging="0"/>
        <w:jc w:val="both"/>
        <w:rPr/>
      </w:pPr>
      <w:r>
        <w:rPr>
          <w:rFonts w:eastAsia="Arial" w:cs="Arial" w:ascii="Arial" w:hAnsi="Arial"/>
          <w:b/>
          <w:i/>
          <w:color w:val="444444"/>
          <w:sz w:val="24"/>
          <w:szCs w:val="24"/>
        </w:rPr>
        <w:t>Dispõe sobre as rotinas e os procedimentos de controle a serem adotados no âmbito da Secretaria de Desenvolvimento Urbano e Habitação para alimentação do Sistema de RemessaTCEPE, disposto na Resolução TC nº </w:t>
      </w:r>
      <w:hyperlink r:id="rId2">
        <w:r>
          <w:rPr>
            <w:rFonts w:eastAsia="Arial" w:cs="Arial" w:ascii="Arial" w:hAnsi="Arial"/>
            <w:b/>
            <w:i/>
            <w:color w:val="222222"/>
            <w:sz w:val="24"/>
            <w:szCs w:val="24"/>
            <w:u w:val="single"/>
          </w:rPr>
          <w:t>231</w:t>
        </w:r>
      </w:hyperlink>
      <w:r>
        <w:rPr>
          <w:rFonts w:eastAsia="Arial" w:cs="Arial" w:ascii="Arial" w:hAnsi="Arial"/>
          <w:b/>
          <w:i/>
          <w:color w:val="444444"/>
          <w:sz w:val="24"/>
          <w:szCs w:val="24"/>
        </w:rPr>
        <w:t>, de 27 de março de 2024.</w:t>
      </w:r>
    </w:p>
    <w:p>
      <w:pPr>
        <w:pStyle w:val="LO-normal"/>
        <w:jc w:val="both"/>
        <w:rPr/>
      </w:pPr>
      <w:r>
        <w:rPr>
          <w:rFonts w:eastAsia="Arial" w:cs="Arial" w:ascii="Arial" w:hAnsi="Arial"/>
          <w:color w:val="333333"/>
          <w:sz w:val="24"/>
          <w:szCs w:val="24"/>
        </w:rPr>
        <w:br/>
      </w:r>
      <w:r>
        <w:rPr>
          <w:rFonts w:eastAsia="Arial" w:cs="Arial" w:ascii="Arial" w:hAnsi="Arial"/>
          <w:sz w:val="24"/>
          <w:szCs w:val="24"/>
        </w:rPr>
        <w:t>Art. 1º</w:t>
      </w:r>
      <w:r>
        <w:rPr>
          <w:rFonts w:eastAsia="Arial" w:cs="Arial" w:ascii="Arial" w:hAnsi="Arial"/>
          <w:color w:val="333333"/>
          <w:sz w:val="24"/>
          <w:szCs w:val="24"/>
          <w:highlight w:val="white"/>
        </w:rPr>
        <w:t> Esta Instrução Normativa institui as rotinas e os procedimentos de controle a serem adotados pelos gerenciadores e demais usuários do RemessaTCEPE, no âmbito da Secretaria de Desenvolvimento Urbano e Habitação - SEDUH, a fim de garantir a veracidade, integridade, completude, conformidade e tempestividade no envio de dados, em observância ao artigo 5º da Resolução TC nº </w:t>
      </w:r>
      <w:hyperlink r:id="rId3">
        <w:r>
          <w:rPr>
            <w:rFonts w:eastAsia="Arial" w:cs="Arial" w:ascii="Arial" w:hAnsi="Arial"/>
            <w:color w:val="222222"/>
            <w:sz w:val="24"/>
            <w:szCs w:val="24"/>
            <w:u w:val="single"/>
          </w:rPr>
          <w:t>231</w:t>
        </w:r>
      </w:hyperlink>
      <w:r>
        <w:rPr>
          <w:rFonts w:eastAsia="Arial" w:cs="Arial" w:ascii="Arial" w:hAnsi="Arial"/>
          <w:color w:val="333333"/>
          <w:sz w:val="24"/>
          <w:szCs w:val="24"/>
          <w:highlight w:val="white"/>
        </w:rPr>
        <w:t>, de 27 de março de 2024.</w:t>
      </w:r>
      <w:r>
        <w:rPr>
          <w:rFonts w:eastAsia="Arial" w:cs="Arial" w:ascii="Arial" w:hAnsi="Arial"/>
          <w:color w:val="333333"/>
          <w:sz w:val="24"/>
          <w:szCs w:val="24"/>
        </w:rPr>
        <w:br/>
        <w:br/>
      </w:r>
      <w:r>
        <w:rPr>
          <w:rFonts w:eastAsia="Arial" w:cs="Arial" w:ascii="Arial" w:hAnsi="Arial"/>
          <w:sz w:val="24"/>
          <w:szCs w:val="24"/>
        </w:rPr>
        <w:t>Art. 2º</w:t>
      </w:r>
      <w:r>
        <w:rPr>
          <w:rFonts w:eastAsia="Arial" w:cs="Arial" w:ascii="Arial" w:hAnsi="Arial"/>
          <w:color w:val="333333"/>
          <w:sz w:val="24"/>
          <w:szCs w:val="24"/>
          <w:highlight w:val="white"/>
        </w:rPr>
        <w:t> O envio de dados ao RemessaTCEPE caberá às seguintes unidades da estrutura organizacional da Secretaria de Desenvolvimento Urbano e Habitação - SEDUH:</w:t>
      </w:r>
      <w:r>
        <w:rPr>
          <w:rFonts w:eastAsia="Arial" w:cs="Arial" w:ascii="Arial" w:hAnsi="Arial"/>
          <w:color w:val="333333"/>
          <w:sz w:val="24"/>
          <w:szCs w:val="24"/>
        </w:rPr>
        <w:br/>
      </w:r>
    </w:p>
    <w:p>
      <w:pPr>
        <w:pStyle w:val="LO-normal"/>
        <w:spacing w:lineRule="auto" w:line="240"/>
        <w:jc w:val="both"/>
        <w:rPr/>
      </w:pPr>
      <w:r>
        <w:rPr>
          <w:rFonts w:eastAsia="Arial" w:cs="Arial" w:ascii="Arial" w:hAnsi="Arial"/>
          <w:color w:val="333333"/>
          <w:sz w:val="24"/>
          <w:szCs w:val="24"/>
          <w:highlight w:val="white"/>
        </w:rPr>
        <w:t>I – Diretoria de Convênios e Contratos Diretos (DCC);</w:t>
      </w:r>
    </w:p>
    <w:p>
      <w:pPr>
        <w:pStyle w:val="LO-normal"/>
        <w:spacing w:lineRule="auto" w:line="240"/>
        <w:jc w:val="both"/>
        <w:rPr/>
      </w:pPr>
      <w:r>
        <w:rPr>
          <w:rFonts w:eastAsia="Arial" w:cs="Arial" w:ascii="Arial" w:hAnsi="Arial"/>
          <w:color w:val="333333"/>
          <w:sz w:val="24"/>
          <w:szCs w:val="24"/>
          <w:highlight w:val="white"/>
        </w:rPr>
        <w:t>II – Diretoria de Obras de Mobilidade e Contratos de Repasse (DMR);</w:t>
      </w:r>
    </w:p>
    <w:p>
      <w:pPr>
        <w:pStyle w:val="LO-normal"/>
        <w:spacing w:lineRule="auto" w:line="240"/>
        <w:jc w:val="both"/>
        <w:rPr/>
      </w:pPr>
      <w:r>
        <w:rPr>
          <w:rFonts w:eastAsia="Arial" w:cs="Arial" w:ascii="Arial" w:hAnsi="Arial"/>
          <w:color w:val="333333"/>
          <w:sz w:val="24"/>
          <w:szCs w:val="24"/>
          <w:highlight w:val="white"/>
        </w:rPr>
        <w:t>III – Superintendência Jurídica (SUPJUR);</w:t>
      </w:r>
    </w:p>
    <w:p>
      <w:pPr>
        <w:pStyle w:val="LO-normal"/>
        <w:spacing w:lineRule="auto" w:line="240"/>
        <w:jc w:val="both"/>
        <w:rPr/>
      </w:pPr>
      <w:r>
        <w:rPr>
          <w:rFonts w:eastAsia="Arial" w:cs="Arial" w:ascii="Arial" w:hAnsi="Arial"/>
          <w:color w:val="333333"/>
          <w:sz w:val="24"/>
          <w:szCs w:val="24"/>
          <w:highlight w:val="white"/>
        </w:rPr>
        <w:t>IV - Superintendência  de Gestão Administrativa (SUPAD);</w:t>
      </w:r>
      <w:r>
        <w:rPr>
          <w:rFonts w:eastAsia="Arial" w:cs="Arial" w:ascii="Arial" w:hAnsi="Arial"/>
          <w:color w:val="333333"/>
          <w:sz w:val="24"/>
          <w:szCs w:val="24"/>
        </w:rPr>
        <w:br/>
        <w:br/>
        <w:t>V</w:t>
      </w:r>
      <w:r>
        <w:rPr>
          <w:rFonts w:eastAsia="Arial" w:cs="Arial" w:ascii="Arial" w:hAnsi="Arial"/>
          <w:color w:val="333333"/>
          <w:sz w:val="24"/>
          <w:szCs w:val="24"/>
          <w:highlight w:val="white"/>
        </w:rPr>
        <w:t xml:space="preserve"> - Gerência de Compras e Contratos (GCC).</w:t>
      </w:r>
    </w:p>
    <w:p>
      <w:pPr>
        <w:pStyle w:val="LO-normal"/>
        <w:spacing w:lineRule="auto" w:line="240"/>
        <w:jc w:val="both"/>
        <w:rPr>
          <w:rFonts w:ascii="Arial" w:hAnsi="Arial" w:eastAsia="Arial" w:cs="Arial"/>
          <w:color w:val="333333"/>
          <w:sz w:val="24"/>
          <w:szCs w:val="24"/>
          <w:highlight w:val="white"/>
        </w:rPr>
      </w:pPr>
      <w:r>
        <w:rPr>
          <w:rFonts w:eastAsia="Arial" w:cs="Arial" w:ascii="Arial" w:hAnsi="Arial"/>
          <w:color w:val="333333"/>
          <w:sz w:val="24"/>
          <w:szCs w:val="24"/>
        </w:rPr>
        <w:br/>
      </w:r>
      <w:r>
        <w:rPr>
          <w:rFonts w:eastAsia="Arial" w:cs="Arial" w:ascii="Arial" w:hAnsi="Arial"/>
          <w:sz w:val="24"/>
          <w:szCs w:val="24"/>
        </w:rPr>
        <w:t>Art. 3º</w:t>
      </w:r>
      <w:r>
        <w:rPr>
          <w:rFonts w:eastAsia="Arial" w:cs="Arial" w:ascii="Arial" w:hAnsi="Arial"/>
          <w:color w:val="333333"/>
          <w:sz w:val="24"/>
          <w:szCs w:val="24"/>
          <w:highlight w:val="white"/>
        </w:rPr>
        <w:t> O envio das remessas mensais no sistema será realizado pelo  Gerenciador do Sistema RemessaTCEPE, designado por Portaria da autoridade máxima da Secretaria de Desenvolvimento Urbano e Habitação - SEDUH.</w:t>
      </w:r>
      <w:r>
        <w:rPr>
          <w:rFonts w:eastAsia="Arial" w:cs="Arial" w:ascii="Arial" w:hAnsi="Arial"/>
          <w:color w:val="333333"/>
          <w:sz w:val="24"/>
          <w:szCs w:val="24"/>
        </w:rPr>
        <w:br/>
        <w:br/>
      </w:r>
      <w:r>
        <w:rPr>
          <w:rFonts w:eastAsia="Arial" w:cs="Arial" w:ascii="Arial" w:hAnsi="Arial"/>
          <w:color w:val="333333"/>
          <w:sz w:val="24"/>
          <w:szCs w:val="24"/>
          <w:highlight w:val="white"/>
        </w:rPr>
        <w:t>Parágrafo único. O Gerenciador do Sistema RemessaTCEPE também é responsável por cadastrar e excluir usuários, atribuir perfis, gerenciar a alimentação de dados, dentre outras atribuições estabelecidas na Resolução TC nº </w:t>
      </w:r>
      <w:hyperlink r:id="rId4">
        <w:r>
          <w:rPr>
            <w:rFonts w:eastAsia="Arial" w:cs="Arial" w:ascii="Arial" w:hAnsi="Arial"/>
            <w:color w:val="222222"/>
            <w:sz w:val="24"/>
            <w:szCs w:val="24"/>
            <w:u w:val="single"/>
          </w:rPr>
          <w:t>115</w:t>
        </w:r>
      </w:hyperlink>
      <w:r>
        <w:rPr>
          <w:rFonts w:eastAsia="Arial" w:cs="Arial" w:ascii="Arial" w:hAnsi="Arial"/>
          <w:color w:val="333333"/>
          <w:sz w:val="24"/>
          <w:szCs w:val="24"/>
          <w:highlight w:val="white"/>
        </w:rPr>
        <w:t>, de 9 de dezembro de 2020.</w:t>
      </w:r>
      <w:r>
        <w:rPr>
          <w:rFonts w:eastAsia="Arial" w:cs="Arial" w:ascii="Arial" w:hAnsi="Arial"/>
          <w:color w:val="333333"/>
          <w:sz w:val="24"/>
          <w:szCs w:val="24"/>
        </w:rPr>
        <w:br/>
        <w:br/>
      </w:r>
      <w:r>
        <w:rPr>
          <w:rFonts w:eastAsia="Arial" w:cs="Arial" w:ascii="Arial" w:hAnsi="Arial"/>
          <w:sz w:val="24"/>
          <w:szCs w:val="24"/>
        </w:rPr>
        <w:t>Art. 4º</w:t>
      </w:r>
      <w:r>
        <w:rPr>
          <w:rFonts w:eastAsia="Arial" w:cs="Arial" w:ascii="Arial" w:hAnsi="Arial"/>
          <w:color w:val="333333"/>
          <w:sz w:val="24"/>
          <w:szCs w:val="24"/>
          <w:highlight w:val="white"/>
        </w:rPr>
        <w:t> Os titulares das Diretorias, Superintendências e Gerências a que se refere o artigo 2º indicarão os usuários, nos termos do inciso X do § 2º do artigo 1º da Resolução TC nº </w:t>
      </w:r>
      <w:hyperlink r:id="rId5">
        <w:r>
          <w:rPr>
            <w:rFonts w:eastAsia="Arial" w:cs="Arial" w:ascii="Arial" w:hAnsi="Arial"/>
            <w:color w:val="222222"/>
            <w:sz w:val="24"/>
            <w:szCs w:val="24"/>
            <w:u w:val="single"/>
          </w:rPr>
          <w:t>115</w:t>
        </w:r>
      </w:hyperlink>
      <w:r>
        <w:rPr>
          <w:rFonts w:eastAsia="Arial" w:cs="Arial" w:ascii="Arial" w:hAnsi="Arial"/>
          <w:color w:val="333333"/>
          <w:sz w:val="24"/>
          <w:szCs w:val="24"/>
          <w:highlight w:val="white"/>
        </w:rPr>
        <w:t>, de 9 de dezembro de 2020, a serem cadastrados com os respectivos perfis através de processo específico no Sistema Eletrônico de Informações (SEI).</w:t>
      </w:r>
      <w:r>
        <w:rPr>
          <w:rFonts w:eastAsia="Arial" w:cs="Arial" w:ascii="Arial" w:hAnsi="Arial"/>
          <w:color w:val="333333"/>
          <w:sz w:val="24"/>
          <w:szCs w:val="24"/>
        </w:rPr>
        <w:br/>
        <w:br/>
      </w:r>
      <w:r>
        <w:rPr>
          <w:rFonts w:eastAsia="Arial" w:cs="Arial" w:ascii="Arial" w:hAnsi="Arial"/>
          <w:color w:val="333333"/>
          <w:sz w:val="24"/>
          <w:szCs w:val="24"/>
          <w:highlight w:val="white"/>
        </w:rPr>
        <w:t>§ 1º Os seguintes perfis podem ser atribuídos aos usuários:</w:t>
      </w:r>
      <w:r>
        <w:rPr>
          <w:rFonts w:eastAsia="Arial" w:cs="Arial" w:ascii="Arial" w:hAnsi="Arial"/>
          <w:color w:val="333333"/>
          <w:sz w:val="24"/>
          <w:szCs w:val="24"/>
        </w:rPr>
        <w:br/>
        <w:br/>
      </w:r>
      <w:r>
        <w:rPr>
          <w:rFonts w:eastAsia="Arial" w:cs="Arial" w:ascii="Arial" w:hAnsi="Arial"/>
          <w:color w:val="333333"/>
          <w:sz w:val="24"/>
          <w:szCs w:val="24"/>
          <w:highlight w:val="white"/>
        </w:rPr>
        <w:t>I - Cadastro de PC: permite ao usuário promover o lançamento, a alteração, a exclusão e a formalização de dados relativos aos processos de contratação;</w:t>
      </w:r>
      <w:r>
        <w:rPr>
          <w:rFonts w:eastAsia="Arial" w:cs="Arial" w:ascii="Arial" w:hAnsi="Arial"/>
          <w:color w:val="333333"/>
          <w:sz w:val="24"/>
          <w:szCs w:val="24"/>
        </w:rPr>
        <w:br/>
        <w:br/>
      </w:r>
      <w:r>
        <w:rPr>
          <w:rFonts w:eastAsia="Arial" w:cs="Arial" w:ascii="Arial" w:hAnsi="Arial"/>
          <w:color w:val="333333"/>
          <w:sz w:val="24"/>
          <w:szCs w:val="24"/>
          <w:highlight w:val="white"/>
        </w:rPr>
        <w:t>II - Cadastro de IJ e Obras: permite ao usuário promover o lançamento, a alteração, a exclusão e a formalização de dados relativos aos instrumentos jurídicos e respectivos termos aditivos;</w:t>
      </w:r>
      <w:r>
        <w:rPr>
          <w:rFonts w:eastAsia="Arial" w:cs="Arial" w:ascii="Arial" w:hAnsi="Arial"/>
          <w:color w:val="333333"/>
          <w:sz w:val="24"/>
          <w:szCs w:val="24"/>
        </w:rPr>
        <w:br/>
        <w:br/>
      </w:r>
      <w:r>
        <w:rPr>
          <w:rFonts w:eastAsia="Arial" w:cs="Arial" w:ascii="Arial" w:hAnsi="Arial"/>
          <w:color w:val="333333"/>
          <w:sz w:val="24"/>
          <w:szCs w:val="24"/>
          <w:highlight w:val="white"/>
        </w:rPr>
        <w:t>III - Controle Interno: permite ao usuário tão somente a consulta aos dados disponíveis no RemessaTCEPE.</w:t>
      </w:r>
      <w:r>
        <w:rPr>
          <w:rFonts w:eastAsia="Arial" w:cs="Arial" w:ascii="Arial" w:hAnsi="Arial"/>
          <w:color w:val="333333"/>
          <w:sz w:val="24"/>
          <w:szCs w:val="24"/>
        </w:rPr>
        <w:br/>
        <w:br/>
      </w:r>
      <w:r>
        <w:rPr>
          <w:rFonts w:eastAsia="Arial" w:cs="Arial" w:ascii="Arial" w:hAnsi="Arial"/>
          <w:color w:val="333333"/>
          <w:sz w:val="24"/>
          <w:szCs w:val="24"/>
          <w:highlight w:val="white"/>
        </w:rPr>
        <w:t>§ 2º Mediante as demandas de cadastro mencionadas no art 4º da presente instrução normativa, a Assessoria Especial de Controle Interno, com o objetivo de centralizar todas as solicitações de inclusão e exclusão de usuários no sistema Remessa, procederá ao envio das solicitações ao Gerenciador do Sistema TCE.</w:t>
      </w:r>
      <w:r>
        <w:rPr>
          <w:rFonts w:eastAsia="Arial" w:cs="Arial" w:ascii="Arial" w:hAnsi="Arial"/>
          <w:color w:val="333333"/>
          <w:sz w:val="24"/>
          <w:szCs w:val="24"/>
        </w:rPr>
        <w:br/>
        <w:br/>
      </w:r>
      <w:r>
        <w:rPr>
          <w:rFonts w:eastAsia="Arial" w:cs="Arial" w:ascii="Arial" w:hAnsi="Arial"/>
          <w:sz w:val="24"/>
          <w:szCs w:val="24"/>
        </w:rPr>
        <w:t>Art. 5º</w:t>
      </w:r>
      <w:r>
        <w:rPr>
          <w:rFonts w:eastAsia="Arial" w:cs="Arial" w:ascii="Arial" w:hAnsi="Arial"/>
          <w:color w:val="333333"/>
          <w:sz w:val="24"/>
          <w:szCs w:val="24"/>
          <w:highlight w:val="white"/>
        </w:rPr>
        <w:t> Para o envio de dados ao RemessaTCEPE, deve ser utilizado o respectivo aplicativo disponibilizado pelo TCE-PE, bem como adotados os layouts, as tabelas internas e as regras técnicas divulgados no site do TCE-PE.</w:t>
      </w:r>
      <w:r>
        <w:rPr>
          <w:rFonts w:eastAsia="Arial" w:cs="Arial" w:ascii="Arial" w:hAnsi="Arial"/>
          <w:color w:val="333333"/>
          <w:sz w:val="24"/>
          <w:szCs w:val="24"/>
        </w:rPr>
        <w:br/>
        <w:br/>
      </w:r>
      <w:r>
        <w:rPr>
          <w:rFonts w:eastAsia="Arial" w:cs="Arial" w:ascii="Arial" w:hAnsi="Arial"/>
          <w:sz w:val="24"/>
          <w:szCs w:val="24"/>
        </w:rPr>
        <w:t>Art. 6º</w:t>
      </w:r>
      <w:r>
        <w:rPr>
          <w:rFonts w:eastAsia="Arial" w:cs="Arial" w:ascii="Arial" w:hAnsi="Arial"/>
          <w:color w:val="333333"/>
          <w:sz w:val="24"/>
          <w:szCs w:val="24"/>
          <w:highlight w:val="white"/>
        </w:rPr>
        <w:t> Os documentos que compõem o processo de contratação e os que se referem à execução dos instrumentos jurídicos e das obras e dos serviços de engenharia deverão ser incluídos no sistema no formato PDF (Portable Document Format), especialmente:</w:t>
      </w:r>
      <w:r>
        <w:rPr>
          <w:rFonts w:eastAsia="Arial" w:cs="Arial" w:ascii="Arial" w:hAnsi="Arial"/>
          <w:color w:val="333333"/>
          <w:sz w:val="24"/>
          <w:szCs w:val="24"/>
        </w:rPr>
        <w:br/>
        <w:br/>
      </w:r>
      <w:r>
        <w:rPr>
          <w:rFonts w:eastAsia="Arial" w:cs="Arial" w:ascii="Arial" w:hAnsi="Arial"/>
          <w:color w:val="333333"/>
          <w:sz w:val="24"/>
          <w:szCs w:val="24"/>
          <w:highlight w:val="white"/>
        </w:rPr>
        <w:t xml:space="preserve">I - documentos que compõem o processo de licitação na modalidade "diálogo competitivo" anterior à fase competitiva (edital de pré-seleção, extrato de publicação do edital de pré-seleção, ata das reuniões da fase de diálogo, ata de sessão da fase de diálogo, ata de julgamento da fase de diálogo); </w:t>
        <w:br/>
      </w:r>
      <w:r>
        <w:rPr>
          <w:rFonts w:eastAsia="Arial" w:cs="Arial" w:ascii="Arial" w:hAnsi="Arial"/>
          <w:color w:val="333333"/>
          <w:sz w:val="24"/>
          <w:szCs w:val="24"/>
        </w:rPr>
        <w:br/>
      </w:r>
      <w:r>
        <w:rPr>
          <w:rFonts w:eastAsia="Arial" w:cs="Arial" w:ascii="Arial" w:hAnsi="Arial"/>
          <w:color w:val="333333"/>
          <w:sz w:val="24"/>
          <w:szCs w:val="24"/>
          <w:highlight w:val="white"/>
        </w:rPr>
        <w:t>II - documentos que compõem o processo de deflagração do processo de licitação ou da contratação direta (estudo técnico preliminar, levantamento realizado para elaboração do orçamento estimativo, termo de justificativa de preço, termo de razão da escolha do contratado, termo de avaliação prévia do bem móvel/imóvel);</w:t>
      </w:r>
      <w:r>
        <w:rPr>
          <w:rFonts w:eastAsia="Arial" w:cs="Arial" w:ascii="Arial" w:hAnsi="Arial"/>
          <w:color w:val="333333"/>
          <w:sz w:val="24"/>
          <w:szCs w:val="24"/>
        </w:rPr>
        <w:br/>
        <w:br/>
      </w:r>
      <w:r>
        <w:rPr>
          <w:rFonts w:eastAsia="Arial" w:cs="Arial" w:ascii="Arial" w:hAnsi="Arial"/>
          <w:color w:val="333333"/>
          <w:sz w:val="24"/>
          <w:szCs w:val="24"/>
          <w:highlight w:val="white"/>
        </w:rPr>
        <w:t>III - documentos que compõem o processo administrativo de adesão a atas de registro de preço (estudo técnico preliminar, termo de referência, justificativa da vantagem da adesão, demonstrativo de compatibilidade de preços com os do mercado, prévias consulta e aceitação do órgão ou entidade gerenciadora e do fornecedor);</w:t>
      </w:r>
      <w:r>
        <w:rPr>
          <w:rFonts w:eastAsia="Arial" w:cs="Arial" w:ascii="Arial" w:hAnsi="Arial"/>
          <w:color w:val="333333"/>
          <w:sz w:val="24"/>
          <w:szCs w:val="24"/>
        </w:rPr>
        <w:br/>
        <w:br/>
      </w:r>
      <w:r>
        <w:rPr>
          <w:rFonts w:eastAsia="Arial" w:cs="Arial" w:ascii="Arial" w:hAnsi="Arial"/>
          <w:color w:val="333333"/>
          <w:sz w:val="24"/>
          <w:szCs w:val="24"/>
          <w:highlight w:val="white"/>
        </w:rPr>
        <w:t>IV - editais das licitações, contendo todos os seus anexos;</w:t>
      </w:r>
      <w:r>
        <w:rPr>
          <w:rFonts w:eastAsia="Arial" w:cs="Arial" w:ascii="Arial" w:hAnsi="Arial"/>
          <w:color w:val="333333"/>
          <w:sz w:val="24"/>
          <w:szCs w:val="24"/>
        </w:rPr>
        <w:br/>
        <w:br/>
      </w:r>
      <w:r>
        <w:rPr>
          <w:rFonts w:eastAsia="Arial" w:cs="Arial" w:ascii="Arial" w:hAnsi="Arial"/>
          <w:color w:val="333333"/>
          <w:sz w:val="24"/>
          <w:szCs w:val="24"/>
          <w:highlight w:val="white"/>
        </w:rPr>
        <w:t>V - propostas e documentos de habilitação dos participantes do processo de licitação ou de contratação direta;</w:t>
      </w:r>
      <w:r>
        <w:rPr>
          <w:rFonts w:eastAsia="Arial" w:cs="Arial" w:ascii="Arial" w:hAnsi="Arial"/>
          <w:color w:val="333333"/>
          <w:sz w:val="24"/>
          <w:szCs w:val="24"/>
        </w:rPr>
        <w:br/>
        <w:br/>
      </w:r>
      <w:r>
        <w:rPr>
          <w:rFonts w:eastAsia="Arial" w:cs="Arial" w:ascii="Arial" w:hAnsi="Arial"/>
          <w:color w:val="333333"/>
          <w:sz w:val="24"/>
          <w:szCs w:val="24"/>
          <w:highlight w:val="white"/>
        </w:rPr>
        <w:t>VI - atas das sessões de habilitação e de julgamento das propostas das licitações;</w:t>
      </w:r>
      <w:r>
        <w:rPr>
          <w:rFonts w:eastAsia="Arial" w:cs="Arial" w:ascii="Arial" w:hAnsi="Arial"/>
          <w:color w:val="333333"/>
          <w:sz w:val="24"/>
          <w:szCs w:val="24"/>
        </w:rPr>
        <w:br/>
        <w:br/>
      </w:r>
      <w:r>
        <w:rPr>
          <w:rFonts w:eastAsia="Arial" w:cs="Arial" w:ascii="Arial" w:hAnsi="Arial"/>
          <w:color w:val="333333"/>
          <w:sz w:val="24"/>
          <w:szCs w:val="24"/>
          <w:highlight w:val="white"/>
        </w:rPr>
        <w:t>VII - pareceres técnico e jurídico das licitações e das contratações diretas;</w:t>
      </w:r>
      <w:r>
        <w:rPr>
          <w:rFonts w:eastAsia="Arial" w:cs="Arial" w:ascii="Arial" w:hAnsi="Arial"/>
          <w:color w:val="333333"/>
          <w:sz w:val="24"/>
          <w:szCs w:val="24"/>
        </w:rPr>
        <w:br/>
        <w:br/>
      </w:r>
      <w:r>
        <w:rPr>
          <w:rFonts w:eastAsia="Arial" w:cs="Arial" w:ascii="Arial" w:hAnsi="Arial"/>
          <w:color w:val="333333"/>
          <w:sz w:val="24"/>
          <w:szCs w:val="24"/>
          <w:highlight w:val="white"/>
        </w:rPr>
        <w:t>VIII - termos de adjudicação e de homologação do certame das licitações;</w:t>
      </w:r>
      <w:r>
        <w:rPr>
          <w:rFonts w:eastAsia="Arial" w:cs="Arial" w:ascii="Arial" w:hAnsi="Arial"/>
          <w:color w:val="333333"/>
          <w:sz w:val="24"/>
          <w:szCs w:val="24"/>
        </w:rPr>
        <w:br/>
        <w:br/>
      </w:r>
      <w:r>
        <w:rPr>
          <w:rFonts w:eastAsia="Arial" w:cs="Arial" w:ascii="Arial" w:hAnsi="Arial"/>
          <w:color w:val="333333"/>
          <w:sz w:val="24"/>
          <w:szCs w:val="24"/>
          <w:highlight w:val="white"/>
        </w:rPr>
        <w:t>IX - termos de dispensa e de inexigibilidade de licitação, contendo todos os seus anexos;</w:t>
      </w:r>
      <w:r>
        <w:rPr>
          <w:rFonts w:eastAsia="Arial" w:cs="Arial" w:ascii="Arial" w:hAnsi="Arial"/>
          <w:color w:val="333333"/>
          <w:sz w:val="24"/>
          <w:szCs w:val="24"/>
        </w:rPr>
        <w:br/>
        <w:br/>
      </w:r>
      <w:r>
        <w:rPr>
          <w:rFonts w:eastAsia="Arial" w:cs="Arial" w:ascii="Arial" w:hAnsi="Arial"/>
          <w:color w:val="333333"/>
          <w:sz w:val="24"/>
          <w:szCs w:val="24"/>
          <w:highlight w:val="white"/>
        </w:rPr>
        <w:t>X - instrumentos jurídicos e respectivos termos aditivos e de apostilamento, contendo todos os seus anexos;</w:t>
      </w:r>
      <w:r>
        <w:rPr>
          <w:rFonts w:eastAsia="Arial" w:cs="Arial" w:ascii="Arial" w:hAnsi="Arial"/>
          <w:color w:val="333333"/>
          <w:sz w:val="24"/>
          <w:szCs w:val="24"/>
        </w:rPr>
        <w:br/>
        <w:br/>
      </w:r>
      <w:r>
        <w:rPr>
          <w:rFonts w:eastAsia="Arial" w:cs="Arial" w:ascii="Arial" w:hAnsi="Arial"/>
          <w:color w:val="333333"/>
          <w:sz w:val="24"/>
          <w:szCs w:val="24"/>
          <w:highlight w:val="white"/>
        </w:rPr>
        <w:t>XI - documentos que compõem o processo de execução de obras e de serviços de engenharia (boletins de medição, registros fotográficos, ordem de serviço, termo de recebimento provisório e definitivo, termo de paralisação e termo de retomada de obras e de serviços de engenharia).</w:t>
      </w:r>
    </w:p>
    <w:p>
      <w:pPr>
        <w:pStyle w:val="LO-normal"/>
        <w:spacing w:lineRule="auto" w:line="240"/>
        <w:jc w:val="both"/>
        <w:rPr>
          <w:rFonts w:ascii="Arial" w:hAnsi="Arial" w:eastAsia="Arial" w:cs="Arial"/>
          <w:sz w:val="24"/>
          <w:szCs w:val="24"/>
          <w:highlight w:val="white"/>
        </w:rPr>
      </w:pPr>
      <w:r>
        <w:rPr>
          <w:rFonts w:eastAsia="Arial" w:cs="Arial" w:ascii="Arial" w:hAnsi="Arial"/>
          <w:sz w:val="24"/>
          <w:szCs w:val="24"/>
          <w:highlight w:val="white"/>
        </w:rPr>
        <w:t>§ 1º Considerando o Decreto n º 54. 526, de 30 de março de 2023 que disciplina as medidas de controle e centralização de atos nos procedimentos de compras e contratações públicas no âmbito do Poder Executivo Estadual, compete à SEDUH o cadastro no RemessaTCEPE dos processos de contratação descentralizados, ou seja, que não sejam processados pela Secretaria de Administração.</w:t>
      </w:r>
    </w:p>
    <w:p>
      <w:pPr>
        <w:pStyle w:val="LO-normal"/>
        <w:spacing w:lineRule="auto" w:line="240"/>
        <w:jc w:val="both"/>
        <w:rPr>
          <w:rFonts w:ascii="Arial" w:hAnsi="Arial" w:eastAsia="Arial" w:cs="Arial"/>
          <w:sz w:val="24"/>
          <w:szCs w:val="24"/>
          <w:highlight w:val="white"/>
        </w:rPr>
      </w:pPr>
      <w:r>
        <w:rPr>
          <w:rFonts w:eastAsia="Arial" w:cs="Arial" w:ascii="Arial" w:hAnsi="Arial"/>
          <w:color w:val="333333"/>
          <w:sz w:val="24"/>
          <w:szCs w:val="24"/>
        </w:rPr>
        <w:br/>
      </w:r>
      <w:r>
        <w:rPr>
          <w:rFonts w:eastAsia="Arial" w:cs="Arial" w:ascii="Arial" w:hAnsi="Arial"/>
          <w:sz w:val="24"/>
          <w:szCs w:val="24"/>
        </w:rPr>
        <w:t>Art. 7º</w:t>
      </w:r>
      <w:r>
        <w:rPr>
          <w:rFonts w:eastAsia="Arial" w:cs="Arial" w:ascii="Arial" w:hAnsi="Arial"/>
          <w:color w:val="333333"/>
          <w:sz w:val="24"/>
          <w:szCs w:val="24"/>
          <w:highlight w:val="white"/>
        </w:rPr>
        <w:t> Para a alimentação dos dados referentes ao orçamento estimativo e ao resultado dos processos licitatórios e de contratação direta, bem como daqueles atinentes aos itens dos instrumentos jurídicos cadastrados no RemessaTCEPE, devem ser utilizadas as planilhas eletrônicas disponibilizadas no site do TCE-PE, para fins de importação no referido módulo, conforme disposto no artigo 5º desta Instrução Normativa.</w:t>
      </w:r>
      <w:r>
        <w:rPr>
          <w:rFonts w:eastAsia="Arial" w:cs="Arial" w:ascii="Arial" w:hAnsi="Arial"/>
          <w:color w:val="333333"/>
          <w:sz w:val="24"/>
          <w:szCs w:val="24"/>
        </w:rPr>
        <w:br/>
        <w:br/>
      </w:r>
      <w:r>
        <w:rPr>
          <w:rFonts w:eastAsia="Arial" w:cs="Arial" w:ascii="Arial" w:hAnsi="Arial"/>
          <w:color w:val="333333"/>
          <w:sz w:val="24"/>
          <w:szCs w:val="24"/>
          <w:highlight w:val="white"/>
        </w:rPr>
        <w:t>Parágrafo único. Compete às áreas demandantes a alimentação dos dados referentes ao orçamento estimativo na confecção das planilhas eletrônicas.</w:t>
      </w:r>
      <w:r>
        <w:rPr>
          <w:rFonts w:eastAsia="Arial" w:cs="Arial" w:ascii="Arial" w:hAnsi="Arial"/>
          <w:color w:val="333333"/>
          <w:sz w:val="24"/>
          <w:szCs w:val="24"/>
        </w:rPr>
        <w:br/>
        <w:br/>
      </w:r>
      <w:r>
        <w:rPr>
          <w:rFonts w:eastAsia="Arial" w:cs="Arial" w:ascii="Arial" w:hAnsi="Arial"/>
          <w:sz w:val="24"/>
          <w:szCs w:val="24"/>
        </w:rPr>
        <w:t>Art. 8º</w:t>
      </w:r>
      <w:r>
        <w:rPr>
          <w:rFonts w:eastAsia="Arial" w:cs="Arial" w:ascii="Arial" w:hAnsi="Arial"/>
          <w:color w:val="333333"/>
          <w:sz w:val="24"/>
          <w:szCs w:val="24"/>
          <w:highlight w:val="white"/>
        </w:rPr>
        <w:t xml:space="preserve"> Estão dispensados de registro no RemessaTCEPE os dados afeitos às contratações fundamentadas nos incisos I e II do artigo 24 da Lei Federal nº </w:t>
      </w:r>
      <w:hyperlink r:id="rId6">
        <w:r>
          <w:rPr>
            <w:rFonts w:eastAsia="Arial" w:cs="Arial" w:ascii="Arial" w:hAnsi="Arial"/>
            <w:color w:val="222222"/>
            <w:sz w:val="24"/>
            <w:szCs w:val="24"/>
            <w:highlight w:val="white"/>
            <w:u w:val="single"/>
          </w:rPr>
          <w:t>8.666</w:t>
        </w:r>
      </w:hyperlink>
      <w:r>
        <w:rPr>
          <w:rFonts w:eastAsia="Arial" w:cs="Arial" w:ascii="Arial" w:hAnsi="Arial"/>
          <w:color w:val="333333"/>
          <w:sz w:val="24"/>
          <w:szCs w:val="24"/>
          <w:highlight w:val="white"/>
        </w:rPr>
        <w:t xml:space="preserve">/1993, nos incisos I e II do artigo 75 da Lei Federal nº </w:t>
      </w:r>
      <w:hyperlink r:id="rId7">
        <w:r>
          <w:rPr>
            <w:rFonts w:eastAsia="Arial" w:cs="Arial" w:ascii="Arial" w:hAnsi="Arial"/>
            <w:color w:val="222222"/>
            <w:sz w:val="24"/>
            <w:szCs w:val="24"/>
            <w:highlight w:val="white"/>
            <w:u w:val="single"/>
          </w:rPr>
          <w:t>14.133</w:t>
        </w:r>
      </w:hyperlink>
      <w:r>
        <w:rPr>
          <w:rFonts w:eastAsia="Arial" w:cs="Arial" w:ascii="Arial" w:hAnsi="Arial"/>
          <w:color w:val="333333"/>
          <w:sz w:val="24"/>
          <w:szCs w:val="24"/>
          <w:highlight w:val="white"/>
        </w:rPr>
        <w:t xml:space="preserve">/2021 ou incisos I e II do artigo 29 da Lei Federal nº </w:t>
      </w:r>
      <w:r>
        <w:fldChar w:fldCharType="begin"/>
      </w:r>
      <w:r>
        <w:rPr>
          <w:sz w:val="24"/>
          <w:u w:val="single"/>
          <w:szCs w:val="24"/>
          <w:highlight w:val="white"/>
          <w:rFonts w:eastAsia="Arial" w:cs="Arial" w:ascii="Arial" w:hAnsi="Arial"/>
          <w:color w:val="222222"/>
        </w:rPr>
        <w:instrText xml:space="preserve"> HYPERLINK "http://www.planalto.gov.br/ccivil_03/_ato2015-2018/2016/lei/l13303.htm" \l ":~:text=L13303&amp;text=LEI Nº 13.303%2C DE 30 DE JUNHO DE 2016.&amp;text=Dispõe sobre o estatuto jurídico,Distrito Federal e dos Municípios.?origin=instituicao"</w:instrText>
      </w:r>
      <w:r>
        <w:rPr>
          <w:sz w:val="24"/>
          <w:u w:val="single"/>
          <w:szCs w:val="24"/>
          <w:highlight w:val="white"/>
          <w:rFonts w:eastAsia="Arial" w:cs="Arial" w:ascii="Arial" w:hAnsi="Arial"/>
          <w:color w:val="222222"/>
        </w:rPr>
        <w:fldChar w:fldCharType="separate"/>
      </w:r>
      <w:r>
        <w:rPr>
          <w:rFonts w:eastAsia="Arial" w:cs="Arial" w:ascii="Arial" w:hAnsi="Arial"/>
          <w:color w:val="222222"/>
          <w:sz w:val="24"/>
          <w:szCs w:val="24"/>
          <w:highlight w:val="white"/>
          <w:u w:val="single"/>
        </w:rPr>
        <w:t>13.303</w:t>
      </w:r>
      <w:r>
        <w:rPr>
          <w:sz w:val="24"/>
          <w:u w:val="single"/>
          <w:szCs w:val="24"/>
          <w:highlight w:val="white"/>
          <w:rFonts w:eastAsia="Arial" w:cs="Arial" w:ascii="Arial" w:hAnsi="Arial"/>
          <w:color w:val="222222"/>
        </w:rPr>
        <w:fldChar w:fldCharType="end"/>
      </w:r>
      <w:r>
        <w:rPr>
          <w:rFonts w:eastAsia="Arial" w:cs="Arial" w:ascii="Arial" w:hAnsi="Arial"/>
          <w:color w:val="333333"/>
          <w:sz w:val="24"/>
          <w:szCs w:val="24"/>
          <w:highlight w:val="white"/>
        </w:rPr>
        <w:t>/2016.</w:t>
      </w:r>
      <w:r>
        <w:rPr>
          <w:rFonts w:eastAsia="Arial" w:cs="Arial" w:ascii="Arial" w:hAnsi="Arial"/>
          <w:color w:val="333333"/>
          <w:sz w:val="24"/>
          <w:szCs w:val="24"/>
        </w:rPr>
        <w:br/>
        <w:br/>
      </w:r>
      <w:r>
        <w:rPr>
          <w:rFonts w:eastAsia="Arial" w:cs="Arial" w:ascii="Arial" w:hAnsi="Arial"/>
          <w:sz w:val="24"/>
          <w:szCs w:val="24"/>
          <w:highlight w:val="white"/>
        </w:rPr>
        <w:t>Art. 9º</w:t>
      </w:r>
      <w:r>
        <w:rPr>
          <w:rFonts w:eastAsia="Arial" w:cs="Arial" w:ascii="Arial" w:hAnsi="Arial"/>
          <w:color w:val="333333"/>
          <w:sz w:val="24"/>
          <w:szCs w:val="24"/>
          <w:highlight w:val="white"/>
        </w:rPr>
        <w:t> O registro de informações e documentos previstos no artigo 6º deverá observar, no que couber, a ordem de sucessão dos atos, devendo ser efetuado pelas seguintes unidades da estrutura organizacional da Secretaria de Desenvolvimento Urbano e Habitação - SEDUH:</w:t>
      </w:r>
      <w:r>
        <w:rPr>
          <w:rFonts w:eastAsia="Arial" w:cs="Arial" w:ascii="Arial" w:hAnsi="Arial"/>
          <w:color w:val="333333"/>
          <w:sz w:val="24"/>
          <w:szCs w:val="24"/>
        </w:rPr>
        <w:br/>
      </w:r>
      <w:r>
        <w:rPr>
          <w:rFonts w:eastAsia="Arial" w:cs="Arial" w:ascii="Arial" w:hAnsi="Arial"/>
          <w:color w:val="333333"/>
          <w:sz w:val="24"/>
          <w:szCs w:val="24"/>
          <w:highlight w:val="white"/>
        </w:rPr>
        <w:br/>
        <w:t>I - GCC : os documentos previstos nos incisos I, II, IV, V, VI, VII, VIII, IX e X  do artigo 6º desta Instrução Normativa, quando processados diretamente pela SEDUH;</w:t>
      </w:r>
      <w:r>
        <w:rPr>
          <w:rFonts w:eastAsia="Arial" w:cs="Arial" w:ascii="Arial" w:hAnsi="Arial"/>
          <w:color w:val="333333"/>
          <w:sz w:val="24"/>
          <w:szCs w:val="24"/>
          <w:shd w:fill="FFE599" w:val="clear"/>
        </w:rPr>
        <w:br/>
        <w:br/>
      </w:r>
      <w:r>
        <w:rPr>
          <w:rFonts w:eastAsia="Arial" w:cs="Arial" w:ascii="Arial" w:hAnsi="Arial"/>
          <w:color w:val="333333"/>
          <w:sz w:val="24"/>
          <w:szCs w:val="24"/>
          <w:highlight w:val="white"/>
        </w:rPr>
        <w:t>II - SUPJUR: os documentos previstos no inciso X do artigo 6º desta Instrução Normativa, quando se tratarem de convênios de despesa, acordos de cooperação, termos de fomento e colaboração e afins;</w:t>
      </w:r>
      <w:r>
        <w:rPr>
          <w:rFonts w:eastAsia="Arial" w:cs="Arial" w:ascii="Arial" w:hAnsi="Arial"/>
          <w:color w:val="333333"/>
          <w:sz w:val="24"/>
          <w:szCs w:val="24"/>
          <w:shd w:fill="FFE599" w:val="clear"/>
        </w:rPr>
        <w:br/>
        <w:br/>
      </w:r>
      <w:r>
        <w:rPr>
          <w:rFonts w:eastAsia="Arial" w:cs="Arial" w:ascii="Arial" w:hAnsi="Arial"/>
          <w:color w:val="333333"/>
          <w:sz w:val="24"/>
          <w:szCs w:val="24"/>
          <w:highlight w:val="white"/>
        </w:rPr>
        <w:t>III - DCC e DMC: os documentos previstos no inciso XI do artigo 6º desta Instrução Normativa que estejam vinculados quanto à gestão e execução à determinada diretoria;</w:t>
        <w:br/>
      </w:r>
      <w:r>
        <w:rPr>
          <w:rFonts w:eastAsia="Arial" w:cs="Arial" w:ascii="Arial" w:hAnsi="Arial"/>
          <w:color w:val="333333"/>
          <w:sz w:val="24"/>
          <w:szCs w:val="24"/>
        </w:rPr>
        <w:br/>
      </w:r>
      <w:r>
        <w:rPr>
          <w:rFonts w:eastAsia="Arial" w:cs="Arial" w:ascii="Arial" w:hAnsi="Arial"/>
          <w:sz w:val="24"/>
          <w:szCs w:val="24"/>
        </w:rPr>
        <w:t>Art. 10.</w:t>
      </w:r>
      <w:r>
        <w:rPr>
          <w:rFonts w:eastAsia="Arial" w:cs="Arial" w:ascii="Arial" w:hAnsi="Arial"/>
          <w:sz w:val="24"/>
          <w:szCs w:val="24"/>
          <w:highlight w:val="white"/>
        </w:rPr>
        <w:t> A tramitação do envio de dados e informações, no sistema RemessaTCEPE, referentes a determinada competência só poderá ser realizada após o recebimento dos SEIs das respectivas áreas responsáveis, atestando a completude do cadastro de informações correspondentes ao período.</w:t>
      </w:r>
    </w:p>
    <w:p>
      <w:pPr>
        <w:pStyle w:val="LO-normal"/>
        <w:spacing w:lineRule="auto" w:line="240"/>
        <w:jc w:val="both"/>
        <w:rPr>
          <w:rFonts w:ascii="Arial" w:hAnsi="Arial" w:eastAsia="Arial" w:cs="Arial"/>
          <w:sz w:val="24"/>
          <w:szCs w:val="24"/>
          <w:highlight w:val="white"/>
        </w:rPr>
      </w:pPr>
      <w:r>
        <w:rPr>
          <w:rFonts w:eastAsia="Arial" w:cs="Arial" w:ascii="Arial" w:hAnsi="Arial"/>
          <w:sz w:val="24"/>
          <w:szCs w:val="24"/>
          <w:highlight w:val="white"/>
        </w:rPr>
        <w:t xml:space="preserve">§ 1º Mediante os respectivos SEIs de que trata o caput, a Assessoria Especial de Controle Interno procederá à solicitação, através de SEI específico, de envio da remessa mensal ao Gerenciador de Sistema TCE. </w:t>
      </w:r>
    </w:p>
    <w:p>
      <w:pPr>
        <w:pStyle w:val="LO-normal"/>
        <w:spacing w:lineRule="auto" w:line="240"/>
        <w:jc w:val="both"/>
        <w:rPr>
          <w:rFonts w:ascii="Arial" w:hAnsi="Arial" w:eastAsia="Arial" w:cs="Arial"/>
          <w:sz w:val="24"/>
          <w:szCs w:val="24"/>
          <w:highlight w:val="white"/>
        </w:rPr>
      </w:pPr>
      <w:r>
        <w:rPr>
          <w:rFonts w:eastAsia="Arial" w:cs="Arial" w:ascii="Arial" w:hAnsi="Arial"/>
          <w:sz w:val="24"/>
          <w:szCs w:val="24"/>
          <w:highlight w:val="white"/>
        </w:rPr>
        <w:t xml:space="preserve">§ 2º Na hipótese de ausência de registro de informações ou documentos identificada pela Assessoria Especial de Controle Interno, serão remetidos Fórmulários de Apontamentos a fim de regularização dos registros pelas áreas responsáveis. </w:t>
      </w:r>
    </w:p>
    <w:p>
      <w:pPr>
        <w:pStyle w:val="LO-normal"/>
        <w:spacing w:lineRule="auto" w:line="240"/>
        <w:jc w:val="both"/>
        <w:rPr>
          <w:rFonts w:ascii="Arial" w:hAnsi="Arial" w:eastAsia="Arial" w:cs="Arial"/>
          <w:color w:val="333333"/>
          <w:sz w:val="24"/>
          <w:szCs w:val="24"/>
          <w:highlight w:val="white"/>
        </w:rPr>
      </w:pPr>
      <w:r>
        <w:rPr>
          <w:rFonts w:eastAsia="Arial" w:cs="Arial" w:ascii="Arial" w:hAnsi="Arial"/>
          <w:color w:val="333333"/>
          <w:sz w:val="24"/>
          <w:szCs w:val="24"/>
        </w:rPr>
        <w:br/>
      </w:r>
      <w:r>
        <w:rPr>
          <w:rFonts w:eastAsia="Arial" w:cs="Arial" w:ascii="Arial" w:hAnsi="Arial"/>
          <w:sz w:val="24"/>
          <w:szCs w:val="24"/>
          <w:highlight w:val="white"/>
        </w:rPr>
        <w:t>Art. 11.</w:t>
      </w:r>
      <w:r>
        <w:rPr>
          <w:rFonts w:eastAsia="Arial" w:cs="Arial" w:ascii="Arial" w:hAnsi="Arial"/>
          <w:color w:val="333333"/>
          <w:sz w:val="24"/>
          <w:szCs w:val="24"/>
          <w:highlight w:val="white"/>
        </w:rPr>
        <w:t> As dificuldades técnico-operacionais referentes ao lançamento, à alteração, à exclusão e/ou à formalização de dados deverão ser comunicadas, de imediato, pelo usuário responsável à Assessoria Especial de Controle Interno, para fins de intermediação junto ao Tribunal de Contas do Estado ou poderão ser informadas diretamente ao atendimento do órgão de Controle Externo através dos canais oficiais.</w:t>
        <w:br/>
      </w:r>
      <w:r>
        <w:rPr>
          <w:rFonts w:eastAsia="Arial" w:cs="Arial" w:ascii="Arial" w:hAnsi="Arial"/>
          <w:color w:val="333333"/>
          <w:sz w:val="24"/>
          <w:szCs w:val="24"/>
        </w:rPr>
        <w:br/>
      </w:r>
      <w:r>
        <w:rPr>
          <w:rFonts w:eastAsia="Arial" w:cs="Arial" w:ascii="Arial" w:hAnsi="Arial"/>
          <w:sz w:val="24"/>
          <w:szCs w:val="24"/>
          <w:highlight w:val="white"/>
        </w:rPr>
        <w:t>Art. 12.  Os prazos de envio dos dados através do RemessaTCEPE serão os seguintes:</w:t>
      </w:r>
    </w:p>
    <w:p>
      <w:pPr>
        <w:pStyle w:val="LO-normal"/>
        <w:spacing w:lineRule="auto" w:line="240"/>
        <w:jc w:val="both"/>
        <w:rPr>
          <w:rFonts w:ascii="Arial" w:hAnsi="Arial" w:eastAsia="Arial" w:cs="Arial"/>
          <w:color w:val="333333"/>
          <w:sz w:val="24"/>
          <w:szCs w:val="24"/>
          <w:highlight w:val="white"/>
        </w:rPr>
      </w:pPr>
      <w:r>
        <w:rPr>
          <w:rFonts w:eastAsia="Arial" w:cs="Arial" w:ascii="Arial" w:hAnsi="Arial"/>
          <w:color w:val="333333"/>
          <w:sz w:val="24"/>
          <w:szCs w:val="24"/>
          <w:highlight w:val="white"/>
        </w:rPr>
        <w:t>I - até a data da publicação do edital ou da expedição do convite na imprensa oficial ou no Portal Nacional de Contratações Públicas (PNCP), para a alimentação dos dados e documentos do processo de licitação relativos à instauração e aos instrumentos convocatórios;</w:t>
      </w:r>
    </w:p>
    <w:p>
      <w:pPr>
        <w:pStyle w:val="LO-normal"/>
        <w:spacing w:lineRule="auto" w:line="240"/>
        <w:jc w:val="both"/>
        <w:rPr>
          <w:rFonts w:ascii="Arial" w:hAnsi="Arial" w:eastAsia="Arial" w:cs="Arial"/>
          <w:color w:val="333333"/>
          <w:sz w:val="24"/>
          <w:szCs w:val="24"/>
          <w:highlight w:val="white"/>
        </w:rPr>
      </w:pPr>
      <w:r>
        <w:rPr>
          <w:rFonts w:eastAsia="Arial" w:cs="Arial" w:ascii="Arial" w:hAnsi="Arial"/>
          <w:color w:val="333333"/>
          <w:sz w:val="24"/>
          <w:szCs w:val="24"/>
          <w:highlight w:val="white"/>
        </w:rPr>
        <w:t>II - até a data da publicação do termo de homologação ou do ato suspensivo ou terminativo, conforme o caso, para a alimentação dos demais dados e documentos relativos ao processo de licitação suspenso, homologado, revogado, anulado ou declarado fracassado ou deserto;</w:t>
      </w:r>
    </w:p>
    <w:p>
      <w:pPr>
        <w:pStyle w:val="LO-normal"/>
        <w:keepNext w:val="false"/>
        <w:keepLines w:val="false"/>
        <w:pageBreakBefore w:val="false"/>
        <w:widowControl/>
        <w:shd w:val="clear" w:fill="auto"/>
        <w:spacing w:lineRule="auto" w:line="240" w:before="0" w:after="200"/>
        <w:ind w:left="0" w:right="0" w:hanging="0"/>
        <w:jc w:val="both"/>
        <w:rPr>
          <w:rFonts w:ascii="Arial" w:hAnsi="Arial" w:eastAsia="Arial" w:cs="Arial"/>
          <w:color w:val="333333"/>
          <w:sz w:val="24"/>
          <w:szCs w:val="24"/>
          <w:highlight w:val="white"/>
        </w:rPr>
      </w:pPr>
      <w:r>
        <w:rPr>
          <w:rFonts w:eastAsia="Arial" w:cs="Arial" w:ascii="Arial" w:hAnsi="Arial"/>
          <w:color w:val="333333"/>
          <w:sz w:val="24"/>
          <w:szCs w:val="24"/>
          <w:highlight w:val="white"/>
        </w:rPr>
        <w:t>III - até a data da publicação do termo de dispensa ou de inexigibilidade na imprensa oficial ou no Portal Nacional de Contratações Públicas (PNCP), para a alimentação dos dados e documentos do processo de contratação direta;</w:t>
      </w:r>
    </w:p>
    <w:p>
      <w:pPr>
        <w:pStyle w:val="LO-normal"/>
        <w:spacing w:lineRule="auto" w:line="240"/>
        <w:jc w:val="both"/>
        <w:rPr>
          <w:rFonts w:ascii="Arial" w:hAnsi="Arial" w:eastAsia="Arial" w:cs="Arial"/>
          <w:color w:val="333333"/>
          <w:sz w:val="24"/>
          <w:szCs w:val="24"/>
          <w:highlight w:val="white"/>
        </w:rPr>
      </w:pPr>
      <w:r>
        <w:rPr>
          <w:rFonts w:eastAsia="Arial" w:cs="Arial" w:ascii="Arial" w:hAnsi="Arial"/>
          <w:color w:val="333333"/>
          <w:sz w:val="24"/>
          <w:szCs w:val="24"/>
          <w:highlight w:val="white"/>
        </w:rPr>
        <w:t>IV - até a data da publicação do extrato do instrumento jurídico na imprensa oficial ou no Portal Nacional de Contratações Públicas (PNCP), para a alimentação dos dados e documentos do instrumento jurídico;</w:t>
      </w:r>
    </w:p>
    <w:p>
      <w:pPr>
        <w:pStyle w:val="LO-normal"/>
        <w:keepNext w:val="false"/>
        <w:keepLines w:val="false"/>
        <w:pageBreakBefore w:val="false"/>
        <w:widowControl/>
        <w:shd w:val="clear" w:fill="auto"/>
        <w:spacing w:lineRule="auto" w:line="240" w:before="0" w:after="200"/>
        <w:ind w:left="0" w:right="0" w:hanging="0"/>
        <w:jc w:val="both"/>
        <w:rPr>
          <w:rFonts w:ascii="Open Sans" w:hAnsi="Open Sans" w:eastAsia="Open Sans" w:cs="Open Sans"/>
          <w:color w:val="333333"/>
          <w:sz w:val="21"/>
          <w:szCs w:val="21"/>
          <w:highlight w:val="white"/>
        </w:rPr>
      </w:pPr>
      <w:r>
        <w:rPr>
          <w:rFonts w:eastAsia="Arial" w:cs="Arial" w:ascii="Arial" w:hAnsi="Arial"/>
          <w:color w:val="333333"/>
          <w:sz w:val="24"/>
          <w:szCs w:val="24"/>
          <w:highlight w:val="white"/>
        </w:rPr>
        <w:t>V - até a data de envio da remessa para a alimentação dos dados e documentos relativos aos termos aditivos e apostilamentos dos instrumentos jurídicos celebrados no período de competência a que se refere a remessa, considerando para tanto a data de publicação do respectivo extrato;</w:t>
      </w:r>
    </w:p>
    <w:p>
      <w:pPr>
        <w:pStyle w:val="LO-normal"/>
        <w:spacing w:lineRule="auto" w:line="240"/>
        <w:jc w:val="both"/>
        <w:rPr>
          <w:rFonts w:ascii="Arial" w:hAnsi="Arial" w:eastAsia="Arial" w:cs="Arial"/>
          <w:color w:val="333333"/>
          <w:sz w:val="24"/>
          <w:szCs w:val="24"/>
          <w:highlight w:val="white"/>
        </w:rPr>
      </w:pPr>
      <w:r>
        <w:rPr>
          <w:rFonts w:eastAsia="Arial" w:cs="Arial" w:ascii="Arial" w:hAnsi="Arial"/>
          <w:color w:val="333333"/>
          <w:sz w:val="24"/>
          <w:szCs w:val="24"/>
          <w:highlight w:val="white"/>
        </w:rPr>
        <w:t>VI - até a data de envio da remessa para a atualização dos dados e documentos relativos à execução de obras e serviços de engenharia, considerando para tanto a execução física realizada no mês de competência.</w:t>
      </w:r>
    </w:p>
    <w:p>
      <w:pPr>
        <w:pStyle w:val="LO-normal"/>
        <w:spacing w:lineRule="auto" w:line="240"/>
        <w:jc w:val="both"/>
        <w:rPr>
          <w:rFonts w:ascii="Arial" w:hAnsi="Arial" w:eastAsia="Arial" w:cs="Arial"/>
          <w:color w:val="333333"/>
          <w:sz w:val="24"/>
          <w:szCs w:val="24"/>
          <w:highlight w:val="white"/>
        </w:rPr>
      </w:pPr>
      <w:r>
        <w:rPr>
          <w:rFonts w:eastAsia="Arial" w:cs="Arial" w:ascii="Arial" w:hAnsi="Arial"/>
          <w:sz w:val="24"/>
          <w:szCs w:val="24"/>
        </w:rPr>
        <w:t>Art. 13.</w:t>
      </w:r>
      <w:r>
        <w:rPr>
          <w:rFonts w:eastAsia="Arial" w:cs="Arial" w:ascii="Arial" w:hAnsi="Arial"/>
          <w:color w:val="333333"/>
          <w:sz w:val="24"/>
          <w:szCs w:val="24"/>
          <w:highlight w:val="white"/>
        </w:rPr>
        <w:t> O prazo de envio das remessas mensais recai até o último dia útil do mês subsequente ao do movimento a que se referir.</w:t>
      </w:r>
    </w:p>
    <w:p>
      <w:pPr>
        <w:pStyle w:val="LO-normal"/>
        <w:spacing w:lineRule="auto" w:line="240"/>
        <w:jc w:val="both"/>
        <w:rPr>
          <w:rFonts w:ascii="Arial" w:hAnsi="Arial" w:eastAsia="Arial" w:cs="Arial"/>
          <w:color w:val="333333"/>
          <w:sz w:val="24"/>
          <w:szCs w:val="24"/>
          <w:highlight w:val="white"/>
        </w:rPr>
      </w:pPr>
      <w:r>
        <w:rPr>
          <w:rFonts w:eastAsia="Arial" w:cs="Arial" w:ascii="Arial" w:hAnsi="Arial"/>
          <w:color w:val="333333"/>
          <w:sz w:val="24"/>
          <w:szCs w:val="24"/>
          <w:highlight w:val="white"/>
        </w:rPr>
        <w:t>§ 1º A não observância quanto aos prazos estabelecidos neste artigo culminará em intimação do Representante Legal do órgão ou entidade inadimplente no Diário Eletrônico, para regularização no prazo de 5 dias úteis.</w:t>
      </w:r>
    </w:p>
    <w:p>
      <w:pPr>
        <w:pStyle w:val="LO-normal"/>
        <w:spacing w:lineRule="auto" w:line="240"/>
        <w:jc w:val="both"/>
        <w:rPr>
          <w:rFonts w:ascii="Arial" w:hAnsi="Arial" w:eastAsia="Arial" w:cs="Arial"/>
          <w:color w:val="333333"/>
          <w:sz w:val="24"/>
          <w:szCs w:val="24"/>
          <w:highlight w:val="white"/>
        </w:rPr>
      </w:pPr>
      <w:r>
        <w:rPr>
          <w:rFonts w:eastAsia="Arial" w:cs="Arial" w:ascii="Arial" w:hAnsi="Arial"/>
          <w:color w:val="333333"/>
          <w:sz w:val="24"/>
          <w:szCs w:val="24"/>
          <w:highlight w:val="white"/>
        </w:rPr>
        <w:t xml:space="preserve">§ 2º Ultrapassado o prazo estabelecido no §2º deste artigo sem a regularização pretendida, será lavrado Auto de Infração contra o responsável legal do órgão ou entidade inadimplente, nos termos do artigo 2º, III e §1º, da Resolução TC nº </w:t>
      </w:r>
      <w:hyperlink r:id="rId8">
        <w:r>
          <w:rPr>
            <w:rFonts w:eastAsia="Arial" w:cs="Arial" w:ascii="Arial" w:hAnsi="Arial"/>
            <w:color w:val="333333"/>
            <w:sz w:val="24"/>
            <w:szCs w:val="24"/>
            <w:highlight w:val="white"/>
          </w:rPr>
          <w:t>117</w:t>
        </w:r>
      </w:hyperlink>
      <w:r>
        <w:rPr>
          <w:rFonts w:eastAsia="Arial" w:cs="Arial" w:ascii="Arial" w:hAnsi="Arial"/>
          <w:color w:val="333333"/>
          <w:sz w:val="24"/>
          <w:szCs w:val="24"/>
          <w:highlight w:val="white"/>
        </w:rPr>
        <w:t>, de 16 de dezembro de 2020.</w:t>
      </w:r>
    </w:p>
    <w:p>
      <w:pPr>
        <w:pStyle w:val="LO-normal"/>
        <w:spacing w:lineRule="auto" w:line="240"/>
        <w:jc w:val="both"/>
        <w:rPr>
          <w:rFonts w:ascii="Arial" w:hAnsi="Arial" w:eastAsia="Arial" w:cs="Arial"/>
          <w:color w:val="333333"/>
          <w:sz w:val="24"/>
          <w:szCs w:val="24"/>
          <w:highlight w:val="white"/>
        </w:rPr>
      </w:pPr>
      <w:r>
        <w:rPr>
          <w:rFonts w:eastAsia="Arial" w:cs="Arial" w:ascii="Arial" w:hAnsi="Arial"/>
          <w:color w:val="333333"/>
          <w:sz w:val="24"/>
          <w:szCs w:val="24"/>
        </w:rPr>
        <w:br/>
      </w:r>
      <w:r>
        <w:rPr>
          <w:rFonts w:eastAsia="Arial" w:cs="Arial" w:ascii="Arial" w:hAnsi="Arial"/>
          <w:sz w:val="24"/>
          <w:szCs w:val="24"/>
        </w:rPr>
        <w:t>Art. 14.</w:t>
      </w:r>
      <w:r>
        <w:rPr>
          <w:rFonts w:eastAsia="Arial" w:cs="Arial" w:ascii="Arial" w:hAnsi="Arial"/>
          <w:color w:val="333333"/>
          <w:sz w:val="24"/>
          <w:szCs w:val="24"/>
          <w:highlight w:val="white"/>
        </w:rPr>
        <w:t> Cabe à Assessoria Especial de Controle Interno no exercício de suas competências específicas:</w:t>
      </w:r>
      <w:r>
        <w:rPr>
          <w:rFonts w:eastAsia="Arial" w:cs="Arial" w:ascii="Arial" w:hAnsi="Arial"/>
          <w:color w:val="333333"/>
          <w:sz w:val="24"/>
          <w:szCs w:val="24"/>
        </w:rPr>
        <w:br/>
        <w:br/>
      </w:r>
      <w:r>
        <w:rPr>
          <w:rFonts w:eastAsia="Arial" w:cs="Arial" w:ascii="Arial" w:hAnsi="Arial"/>
          <w:color w:val="333333"/>
          <w:sz w:val="24"/>
          <w:szCs w:val="24"/>
          <w:highlight w:val="white"/>
        </w:rPr>
        <w:t>I - avaliar os procedimentos de controle adotados pelos usuários do RemessaTCEPE quanto a veracidade, integridade, completude, conformidade e tempestividade no envio de dados;</w:t>
      </w:r>
      <w:r>
        <w:rPr>
          <w:rFonts w:eastAsia="Arial" w:cs="Arial" w:ascii="Arial" w:hAnsi="Arial"/>
          <w:color w:val="333333"/>
          <w:sz w:val="24"/>
          <w:szCs w:val="24"/>
        </w:rPr>
        <w:br/>
        <w:br/>
      </w:r>
      <w:r>
        <w:rPr>
          <w:rFonts w:eastAsia="Arial" w:cs="Arial" w:ascii="Arial" w:hAnsi="Arial"/>
          <w:color w:val="333333"/>
          <w:sz w:val="24"/>
          <w:szCs w:val="24"/>
          <w:highlight w:val="white"/>
        </w:rPr>
        <w:t>II - propor medidas corretivas quando os procedimentos de controle citados no inciso I revelarem-se vulneráveis;</w:t>
      </w:r>
    </w:p>
    <w:p>
      <w:pPr>
        <w:pStyle w:val="LO-normal"/>
        <w:spacing w:lineRule="auto" w:line="240" w:before="0" w:after="200"/>
        <w:jc w:val="both"/>
        <w:rPr>
          <w:rFonts w:ascii="Arial" w:hAnsi="Arial" w:eastAsia="Arial" w:cs="Arial"/>
          <w:sz w:val="24"/>
          <w:szCs w:val="24"/>
        </w:rPr>
      </w:pPr>
      <w:r>
        <w:rPr>
          <w:rFonts w:eastAsia="Arial" w:cs="Arial" w:ascii="Arial" w:hAnsi="Arial"/>
          <w:color w:val="333333"/>
          <w:sz w:val="24"/>
          <w:szCs w:val="24"/>
          <w:highlight w:val="white"/>
        </w:rPr>
        <w:t>III - promover diligências sobre falhas no envio de dados ao RemessaTCEPE, quando provocado pelo TCE-PE;</w:t>
      </w:r>
      <w:r>
        <w:rPr>
          <w:rFonts w:eastAsia="Arial" w:cs="Arial" w:ascii="Arial" w:hAnsi="Arial"/>
          <w:color w:val="333333"/>
          <w:sz w:val="24"/>
          <w:szCs w:val="24"/>
        </w:rPr>
        <w:br/>
        <w:br/>
      </w:r>
      <w:r>
        <w:rPr>
          <w:rFonts w:eastAsia="Arial" w:cs="Arial" w:ascii="Arial" w:hAnsi="Arial"/>
          <w:color w:val="333333"/>
          <w:sz w:val="24"/>
          <w:szCs w:val="24"/>
          <w:highlight w:val="white"/>
        </w:rPr>
        <w:t>IV - informar à autoridade máxima da SEDUH sobre qualquer irregularidade ou ilegalidade observada no curso das ações referidas nos incisos I e III.</w:t>
      </w:r>
      <w:r>
        <w:rPr>
          <w:rFonts w:eastAsia="Arial" w:cs="Arial" w:ascii="Arial" w:hAnsi="Arial"/>
          <w:color w:val="333333"/>
          <w:sz w:val="24"/>
          <w:szCs w:val="24"/>
        </w:rPr>
        <w:br/>
        <w:br/>
      </w:r>
      <w:r>
        <w:rPr>
          <w:rFonts w:eastAsia="Arial" w:cs="Arial" w:ascii="Arial" w:hAnsi="Arial"/>
          <w:color w:val="333333"/>
          <w:sz w:val="24"/>
          <w:szCs w:val="24"/>
          <w:highlight w:val="white"/>
        </w:rPr>
        <w:t xml:space="preserve">Parágrafo único. </w:t>
      </w:r>
      <w:r>
        <w:rPr>
          <w:rFonts w:eastAsia="Arial" w:cs="Arial" w:ascii="Arial" w:hAnsi="Arial"/>
          <w:color w:val="333333"/>
          <w:sz w:val="24"/>
          <w:szCs w:val="24"/>
        </w:rPr>
        <w:t>As informações a serem registradas no RemessaTCEPE devem ser provenientes dos documentos formalizados referentes aos processos de contratação, instrumentos jurídicos e obras, a exemplo dos contratos e convênios celebrados, respectivos termos aditivos ou apostilamentos, não sendo admissível a utilização de informação de fontes diversas ou não formalmente celebradas e publicadas.</w:t>
        <w:br/>
        <w:br/>
      </w:r>
      <w:r>
        <w:rPr>
          <w:rFonts w:eastAsia="Arial" w:cs="Arial" w:ascii="Arial" w:hAnsi="Arial"/>
          <w:sz w:val="24"/>
          <w:szCs w:val="24"/>
        </w:rPr>
        <w:t>Art. 15.</w:t>
      </w:r>
      <w:r>
        <w:rPr>
          <w:rFonts w:eastAsia="Arial" w:cs="Arial" w:ascii="Arial" w:hAnsi="Arial"/>
          <w:color w:val="333333"/>
          <w:sz w:val="24"/>
          <w:szCs w:val="24"/>
          <w:highlight w:val="white"/>
        </w:rPr>
        <w:t>  Esta Instrução Normativa entra em vigor na data de sua publicação.</w:t>
      </w:r>
      <w:r>
        <w:rPr>
          <w:rFonts w:eastAsia="Arial" w:cs="Arial" w:ascii="Arial" w:hAnsi="Arial"/>
          <w:color w:val="333333"/>
          <w:sz w:val="24"/>
          <w:szCs w:val="24"/>
        </w:rPr>
        <w:br/>
        <w:br/>
      </w:r>
      <w:r>
        <w:rPr>
          <w:rFonts w:eastAsia="Arial" w:cs="Arial" w:ascii="Arial" w:hAnsi="Arial"/>
          <w:b/>
          <w:color w:val="333333"/>
          <w:sz w:val="24"/>
          <w:szCs w:val="24"/>
          <w:highlight w:val="white"/>
        </w:rPr>
        <w:t xml:space="preserve">         SIMONE BENEVIDES DE PINHO NUNES - Secretária de Estado</w:t>
      </w:r>
      <w:r>
        <w:rPr>
          <w:rFonts w:eastAsia="Arial" w:cs="Arial" w:ascii="Arial" w:hAnsi="Arial"/>
          <w:b/>
          <w:color w:val="333333"/>
          <w:sz w:val="24"/>
          <w:szCs w:val="24"/>
        </w:rPr>
        <w:br/>
      </w:r>
      <w:r>
        <w:rPr>
          <w:rFonts w:eastAsia="Arial" w:cs="Arial" w:ascii="Arial" w:hAnsi="Arial"/>
          <w:color w:val="333333"/>
          <w:sz w:val="24"/>
          <w:szCs w:val="24"/>
        </w:rPr>
        <w:br/>
      </w:r>
    </w:p>
    <w:sectPr>
      <w:type w:val="nextPage"/>
      <w:pgSz w:w="11906" w:h="16838"/>
      <w:pgMar w:left="1701" w:right="1701" w:gutter="0" w:header="0" w:top="1417" w:footer="0" w:bottom="1417"/>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imes New Roman">
    <w:charset w:val="00"/>
    <w:family w:val="swiss"/>
    <w:pitch w:val="variable"/>
  </w:font>
  <w:font w:name="Liberation Sans">
    <w:altName w:val="Arial"/>
    <w:charset w:val="00"/>
    <w:family w:val="roman"/>
    <w:pitch w:val="variable"/>
  </w:font>
  <w:font w:name="Georgia">
    <w:charset w:val="00"/>
    <w:family w:val="roman"/>
    <w:pitch w:val="variable"/>
  </w:font>
  <w:font w:name="Arial">
    <w:charset w:val="00"/>
    <w:family w:val="roman"/>
    <w:pitch w:val="variable"/>
  </w:font>
  <w:font w:name="Open Sans">
    <w:charset w:val="00"/>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pt-BR" w:eastAsia="zh-CN" w:bidi="hi-IN"/>
      </w:rPr>
    </w:rPrDefault>
    <w:pPrDefault>
      <w:pPr>
        <w:suppressAutoHyphens w:val="true"/>
      </w:pPr>
    </w:pPrDefault>
  </w:docDefaults>
  <w:style w:type="paragraph" w:styleId="Normal" w:default="1">
    <w:name w:val="Normal"/>
    <w:qFormat/>
    <w:rsid w:val="0008628c"/>
    <w:pPr>
      <w:widowControl/>
      <w:suppressAutoHyphens w:val="true"/>
      <w:bidi w:val="0"/>
      <w:spacing w:lineRule="auto" w:line="276" w:before="0" w:after="200"/>
      <w:jc w:val="left"/>
    </w:pPr>
    <w:rPr>
      <w:rFonts w:ascii="Calibri" w:hAnsi="Calibri" w:eastAsia="Calibri" w:cs="Calibri"/>
      <w:color w:val="auto"/>
      <w:kern w:val="0"/>
      <w:sz w:val="22"/>
      <w:szCs w:val="22"/>
      <w:lang w:val="pt-BR" w:eastAsia="zh-CN" w:bidi="hi-IN"/>
    </w:rPr>
  </w:style>
  <w:style w:type="paragraph" w:styleId="Ttulo1">
    <w:name w:val="Heading 1"/>
    <w:basedOn w:val="LO-normal"/>
    <w:next w:val="LO-normal"/>
    <w:link w:val="Ttulo1Char"/>
    <w:uiPriority w:val="9"/>
    <w:qFormat/>
    <w:rsid w:val="005e2e6a"/>
    <w:pPr>
      <w:spacing w:lineRule="auto" w:line="240" w:beforeAutospacing="1" w:afterAutospacing="1"/>
      <w:outlineLvl w:val="0"/>
    </w:pPr>
    <w:rPr>
      <w:rFonts w:ascii="Times New Roman" w:hAnsi="Times New Roman" w:eastAsia="Times New Roman" w:cs="Times New Roman"/>
      <w:b/>
      <w:bCs/>
      <w:kern w:val="2"/>
      <w:sz w:val="48"/>
      <w:szCs w:val="48"/>
      <w:lang w:eastAsia="pt-BR"/>
    </w:rPr>
  </w:style>
  <w:style w:type="paragraph" w:styleId="Ttulo2">
    <w:name w:val="Heading 2"/>
    <w:basedOn w:val="LO-normal"/>
    <w:next w:val="LO-normal"/>
    <w:link w:val="Ttulo2Char"/>
    <w:uiPriority w:val="9"/>
    <w:qFormat/>
    <w:rsid w:val="005e2e6a"/>
    <w:pPr>
      <w:spacing w:lineRule="auto" w:line="240" w:beforeAutospacing="1" w:afterAutospacing="1"/>
      <w:outlineLvl w:val="1"/>
    </w:pPr>
    <w:rPr>
      <w:rFonts w:ascii="Times New Roman" w:hAnsi="Times New Roman" w:eastAsia="Times New Roman" w:cs="Times New Roman"/>
      <w:b/>
      <w:bCs/>
      <w:sz w:val="36"/>
      <w:szCs w:val="36"/>
      <w:lang w:eastAsia="pt-BR"/>
    </w:rPr>
  </w:style>
  <w:style w:type="paragraph" w:styleId="Ttulo3">
    <w:name w:val="Heading 3"/>
    <w:basedOn w:val="LO-normal"/>
    <w:next w:val="LO-normal"/>
    <w:qFormat/>
    <w:pPr>
      <w:keepNext w:val="true"/>
      <w:keepLines/>
      <w:pageBreakBefore w:val="false"/>
      <w:spacing w:lineRule="auto" w:line="240" w:before="280" w:after="80"/>
    </w:pPr>
    <w:rPr>
      <w:b/>
      <w:sz w:val="28"/>
      <w:szCs w:val="28"/>
    </w:rPr>
  </w:style>
  <w:style w:type="paragraph" w:styleId="Ttulo4">
    <w:name w:val="Heading 4"/>
    <w:basedOn w:val="LO-normal"/>
    <w:next w:val="LO-normal"/>
    <w:qFormat/>
    <w:pPr>
      <w:keepNext w:val="true"/>
      <w:keepLines/>
      <w:pageBreakBefore w:val="false"/>
      <w:spacing w:lineRule="auto" w:line="240" w:before="240" w:after="40"/>
    </w:pPr>
    <w:rPr>
      <w:b/>
      <w:sz w:val="24"/>
      <w:szCs w:val="24"/>
    </w:rPr>
  </w:style>
  <w:style w:type="paragraph" w:styleId="Ttulo5">
    <w:name w:val="Heading 5"/>
    <w:basedOn w:val="LO-normal"/>
    <w:next w:val="LO-normal"/>
    <w:qFormat/>
    <w:pPr>
      <w:keepNext w:val="true"/>
      <w:keepLines/>
      <w:pageBreakBefore w:val="false"/>
      <w:spacing w:lineRule="auto" w:line="240" w:before="220" w:after="40"/>
    </w:pPr>
    <w:rPr>
      <w:b/>
      <w:sz w:val="22"/>
      <w:szCs w:val="22"/>
    </w:rPr>
  </w:style>
  <w:style w:type="paragraph" w:styleId="Ttulo6">
    <w:name w:val="Heading 6"/>
    <w:basedOn w:val="LO-normal"/>
    <w:next w:val="LO-normal"/>
    <w:qFormat/>
    <w:pPr>
      <w:keepNext w:val="true"/>
      <w:keepLines/>
      <w:pageBreakBefore w:val="false"/>
      <w:spacing w:lineRule="auto" w:line="240" w:before="200" w:after="40"/>
    </w:pPr>
    <w:rPr>
      <w:b/>
      <w:sz w:val="20"/>
      <w:szCs w:val="20"/>
    </w:rPr>
  </w:style>
  <w:style w:type="character" w:styleId="DefaultParagraphFont" w:default="1">
    <w:name w:val="Default Paragraph Font"/>
    <w:uiPriority w:val="1"/>
    <w:semiHidden/>
    <w:unhideWhenUsed/>
    <w:qFormat/>
    <w:rPr/>
  </w:style>
  <w:style w:type="character" w:styleId="Ttulo1Char" w:customStyle="1">
    <w:name w:val="Título 1 Char"/>
    <w:basedOn w:val="DefaultParagraphFont"/>
    <w:uiPriority w:val="9"/>
    <w:qFormat/>
    <w:rsid w:val="005e2e6a"/>
    <w:rPr>
      <w:rFonts w:ascii="Times New Roman" w:hAnsi="Times New Roman" w:eastAsia="Times New Roman" w:cs="Times New Roman"/>
      <w:b/>
      <w:bCs/>
      <w:kern w:val="2"/>
      <w:sz w:val="48"/>
      <w:szCs w:val="48"/>
      <w:lang w:eastAsia="pt-BR"/>
    </w:rPr>
  </w:style>
  <w:style w:type="character" w:styleId="Ttulo2Char" w:customStyle="1">
    <w:name w:val="Título 2 Char"/>
    <w:basedOn w:val="DefaultParagraphFont"/>
    <w:uiPriority w:val="9"/>
    <w:qFormat/>
    <w:rsid w:val="005e2e6a"/>
    <w:rPr>
      <w:rFonts w:ascii="Times New Roman" w:hAnsi="Times New Roman" w:eastAsia="Times New Roman" w:cs="Times New Roman"/>
      <w:b/>
      <w:bCs/>
      <w:sz w:val="36"/>
      <w:szCs w:val="36"/>
      <w:lang w:eastAsia="pt-BR"/>
    </w:rPr>
  </w:style>
  <w:style w:type="character" w:styleId="LinkdaInternet">
    <w:name w:val="Hyperlink"/>
    <w:basedOn w:val="DefaultParagraphFont"/>
    <w:uiPriority w:val="99"/>
    <w:semiHidden/>
    <w:unhideWhenUsed/>
    <w:rsid w:val="005e2e6a"/>
    <w:rPr>
      <w:color w:val="0000FF"/>
      <w:u w:val="single"/>
    </w:rPr>
  </w:style>
  <w:style w:type="character" w:styleId="Label" w:customStyle="1">
    <w:name w:val="label"/>
    <w:basedOn w:val="DefaultParagraphFont"/>
    <w:qFormat/>
    <w:rsid w:val="005e2e6a"/>
    <w:rPr/>
  </w:style>
  <w:style w:type="paragraph" w:styleId="Ttulo">
    <w:name w:val="Título"/>
    <w:basedOn w:val="LO-normal0"/>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LO-normal0"/>
    <w:pPr>
      <w:spacing w:lineRule="auto" w:line="276" w:before="0" w:after="140"/>
    </w:pPr>
    <w:rPr/>
  </w:style>
  <w:style w:type="paragraph" w:styleId="Lista">
    <w:name w:val="List"/>
    <w:basedOn w:val="Corpodotexto"/>
    <w:pPr/>
    <w:rPr>
      <w:rFonts w:cs="Lucida Sans"/>
    </w:rPr>
  </w:style>
  <w:style w:type="paragraph" w:styleId="Legenda">
    <w:name w:val="Caption"/>
    <w:basedOn w:val="LO-normal0"/>
    <w:qFormat/>
    <w:pPr>
      <w:suppressLineNumbers/>
      <w:spacing w:before="120" w:after="120"/>
    </w:pPr>
    <w:rPr>
      <w:rFonts w:cs="Lucida Sans"/>
      <w:i/>
      <w:iCs/>
      <w:sz w:val="24"/>
      <w:szCs w:val="24"/>
    </w:rPr>
  </w:style>
  <w:style w:type="paragraph" w:styleId="Ndice">
    <w:name w:val="Índice"/>
    <w:basedOn w:val="LO-normal0"/>
    <w:qFormat/>
    <w:pPr>
      <w:suppressLineNumbers/>
    </w:pPr>
    <w:rPr>
      <w:rFonts w:cs="Lucida Sans"/>
    </w:rPr>
  </w:style>
  <w:style w:type="paragraph" w:styleId="LO-normal0" w:default="1">
    <w:name w:val="LO-normal0"/>
    <w:qFormat/>
    <w:pPr>
      <w:widowControl/>
      <w:suppressAutoHyphens w:val="true"/>
      <w:bidi w:val="0"/>
      <w:spacing w:lineRule="auto" w:line="276" w:before="0" w:after="200"/>
      <w:jc w:val="left"/>
    </w:pPr>
    <w:rPr>
      <w:rFonts w:ascii="Calibri" w:hAnsi="Calibri" w:eastAsia="Calibri" w:cs="Calibri"/>
      <w:color w:val="auto"/>
      <w:kern w:val="0"/>
      <w:sz w:val="22"/>
      <w:szCs w:val="22"/>
      <w:lang w:val="pt-BR" w:eastAsia="zh-CN" w:bidi="hi-IN"/>
    </w:rPr>
  </w:style>
  <w:style w:type="paragraph" w:styleId="Ttulododocumento">
    <w:name w:val="Title"/>
    <w:basedOn w:val="LO-normal"/>
    <w:next w:val="LO-normal"/>
    <w:qFormat/>
    <w:pPr>
      <w:keepNext w:val="true"/>
      <w:keepLines/>
      <w:pageBreakBefore w:val="false"/>
      <w:spacing w:lineRule="auto" w:line="240" w:before="480" w:after="120"/>
    </w:pPr>
    <w:rPr>
      <w:b/>
      <w:sz w:val="72"/>
      <w:szCs w:val="72"/>
    </w:rPr>
  </w:style>
  <w:style w:type="paragraph" w:styleId="LO-normal" w:default="1">
    <w:name w:val="LO-normal"/>
    <w:qFormat/>
    <w:pPr>
      <w:widowControl/>
      <w:suppressAutoHyphens w:val="true"/>
      <w:bidi w:val="0"/>
      <w:spacing w:lineRule="auto" w:line="276" w:before="0" w:after="200"/>
      <w:jc w:val="left"/>
    </w:pPr>
    <w:rPr>
      <w:rFonts w:ascii="Calibri" w:hAnsi="Calibri" w:eastAsia="Calibri" w:cs="Calibri"/>
      <w:color w:val="auto"/>
      <w:kern w:val="0"/>
      <w:sz w:val="22"/>
      <w:szCs w:val="22"/>
      <w:lang w:val="pt-BR" w:eastAsia="zh-CN" w:bidi="hi-IN"/>
    </w:rPr>
  </w:style>
  <w:style w:type="paragraph" w:styleId="Subttulo">
    <w:name w:val="Subtitle"/>
    <w:basedOn w:val="LO-normal0"/>
    <w:next w:val="LO-normal0"/>
    <w:qFormat/>
    <w:pPr>
      <w:keepNext w:val="true"/>
      <w:keepLines/>
      <w:pageBreakBefore w:val="false"/>
      <w:spacing w:lineRule="auto" w:line="240" w:before="360" w:after="80"/>
    </w:pPr>
    <w:rPr>
      <w:rFonts w:ascii="Georgia" w:hAnsi="Georgia" w:eastAsia="Georgia" w:cs="Georgia"/>
      <w:i/>
      <w:color w:val="666666"/>
      <w:sz w:val="48"/>
      <w:szCs w:val="48"/>
    </w:rPr>
  </w:style>
  <w:style w:type="numbering" w:styleId="NoList" w:default="1">
    <w:name w:val="No List"/>
    <w:uiPriority w:val="99"/>
    <w:semiHidden/>
    <w:unhideWhenUsed/>
    <w:qFormat/>
  </w:style>
  <w:style w:type="table" w:default="1" w:styleId="TableNormal">
    <w:name w:val="Table Normal"/>
  </w:style>
  <w:style w:type="table" w:default="1" w:styleId="TableNormal">
    <w:name w:val="Table Normal"/>
  </w:style>
  <w:style w:type="table" w:default="1" w:styleId="Tabela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atosoficiais.com.br/tcepe/resolucao-n-231-2024-dispoe-sobre-a-forma-e-os-prazos-de-envio-de-dados-relativos-ao-sistema-de-remessa-de-dados-da-gestao-publica-do-tribunal-de-contas-do-estado-de-pernambuco-remessatcepe-revoga-o-inciso-vi-do-artigo-4-da-resolucao-tc-n-20-de-10-de-agosto-de-2016-e-revoga-as-resolucoes-tc-n-8-de-9-de-julho-de-2014-e-24-de-10-de-agosto-de-2016?origin=instituicao" TargetMode="External"/><Relationship Id="rId3" Type="http://schemas.openxmlformats.org/officeDocument/2006/relationships/hyperlink" Target="https://atosoficiais.com.br/tcepe/resolucao-n-231-2024-dispoe-sobre-a-forma-e-os-prazos-de-envio-de-dados-relativos-ao-sistema-de-remessa-de-dados-da-gestao-publica-do-tribunal-de-contas-do-estado-de-pernambuco-remessatcepe-revoga-o-inciso-vi-do-artigo-4-da-resolucao-tc-n-20-de-10-de-agosto-de-2016-e-revoga-as-resolucoes-tc-n-8-de-9-de-julho-de-2014-e-24-de-10-de-agosto-de-2016?origin=instituicao" TargetMode="External"/><Relationship Id="rId4" Type="http://schemas.openxmlformats.org/officeDocument/2006/relationships/hyperlink" Target="https://atosoficiais.com.br/tcepe/resolucao-n-115-2020-dispoe-sobre-o-sistema-de-cadastro-de-unidades-jurisdicionadas-do-tribunal-de-contas-do-estado-de-pernambuco-altera-a-resolucao-tc-n-20-de-10-de-agosto-de-2016-a-resolucao-tc-n-11-de-08-de-outubro-de-2014-e-a-resolucao-tc-n-22-de-18-de-dezembro-de-2013-e-revoga-a-resolucao-tc-n-29-de-16-de-dezembro-de-2015-e-a-resolucao-tc-n-28-de-16-de-dezembro-de-2015?origin=instituicao" TargetMode="External"/><Relationship Id="rId5" Type="http://schemas.openxmlformats.org/officeDocument/2006/relationships/hyperlink" Target="https://atosoficiais.com.br/tcepe/resolucao-n-115-2020-dispoe-sobre-o-sistema-de-cadastro-de-unidades-jurisdicionadas-do-tribunal-de-contas-do-estado-de-pernambuco-altera-a-resolucao-tc-n-20-de-10-de-agosto-de-2016-a-resolucao-tc-n-11-de-08-de-outubro-de-2014-e-a-resolucao-tc-n-22-de-18-de-dezembro-de-2013-e-revoga-a-resolucao-tc-n-29-de-16-de-dezembro-de-2015-e-a-resolucao-tc-n-28-de-16-de-dezembro-de-2015?origin=instituicao" TargetMode="External"/><Relationship Id="rId6" Type="http://schemas.openxmlformats.org/officeDocument/2006/relationships/hyperlink" Target="http://www.planalto.gov.br/ccivil_03/leis/l8666cons.htm?origin=instituicao" TargetMode="External"/><Relationship Id="rId7" Type="http://schemas.openxmlformats.org/officeDocument/2006/relationships/hyperlink" Target="http://www.planalto.gov.br/ccivil_03/_ato2019-2022/2021/lei/L14133.htm?origin=instituicao" TargetMode="External"/><Relationship Id="rId8" Type="http://schemas.openxmlformats.org/officeDocument/2006/relationships/hyperlink" Target="https://atosoficiais.com.br/tcepe/resolucao-n-117-2020-dispoe-sobre-o-processo-de-auto-de-infracao-no-ambito-do-tribunal-de-contas-do-estado-de-pernambuco-adequando-procedimentos-para-implantar-a-modalidade-processual-auto-de-infracao-em-meio-eletronico-e-revoga-a-resolucao-tc-n&#186;-17-de-27-de-novembro-de-2013?origin=instituicao" TargetMode="Externa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jRObUeqz1+Oolzoiw4qTJWu6JFYA==">CgMxLjA4AHIhMUg0ZzM4ZUNNSW5jRmFlQXltaTVNR0tlcnBCdnQwU19k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0</TotalTime>
  <Application>LibreOffice/7.5.2.2$Windows_X86_64 LibreOffice_project/53bb9681a964705cf672590721dbc85eb4d0c3a2</Application>
  <AppVersion>15.0000</AppVersion>
  <Pages>6</Pages>
  <Words>1801</Words>
  <Characters>9702</Characters>
  <CharactersWithSpaces>11544</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2024-08-01T17:14:00Z</dcterms:created>
  <dc:creator>fabiana.melo</dc:creator>
  <dc:description/>
  <dc:language>pt-BR</dc:language>
  <cp:lastModifiedBy/>
  <dcterms:modified xsi:type="dcterms:W3CDTF">2025-04-15T14:43:05Z</dcterms:modified>
  <cp:revision>1</cp:revision>
  <dc:subject/>
  <dc:title/>
</cp:coreProperties>
</file>

<file path=docProps/custom.xml><?xml version="1.0" encoding="utf-8"?>
<Properties xmlns="http://schemas.openxmlformats.org/officeDocument/2006/custom-properties" xmlns:vt="http://schemas.openxmlformats.org/officeDocument/2006/docPropsVTypes"/>
</file>